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F7F" w:rsidRDefault="00A74ED6" w:rsidP="00B44F7F">
      <w:pPr>
        <w:rPr>
          <w:sz w:val="32"/>
          <w:szCs w:val="32"/>
        </w:rPr>
      </w:pPr>
      <w:r w:rsidRPr="00A74ED6">
        <w:rPr>
          <w:noProof/>
          <w:lang w:eastAsia="it-IT"/>
        </w:rPr>
        <w:pict>
          <v:rect id="_x0000_s1026" style="position:absolute;margin-left:80.25pt;margin-top:74.4pt;width:377.85pt;height:7.15pt;z-index:251658240" fillcolor="#fba65f" stroked="f"/>
        </w:pict>
      </w:r>
      <w:r w:rsidR="00B44F7F" w:rsidRPr="00B44F7F">
        <w:rPr>
          <w:noProof/>
          <w:lang w:eastAsia="it-IT"/>
        </w:rPr>
        <w:drawing>
          <wp:inline distT="0" distB="0" distL="0" distR="0">
            <wp:extent cx="764721" cy="1066800"/>
            <wp:effectExtent l="19050" t="0" r="0" b="0"/>
            <wp:docPr id="1" name="Immagine 1" descr="C:\Users\Chiara\Desktop\acadulti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:\Users\Chiara\Desktop\acadulti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687" cy="10653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44F7F">
        <w:t xml:space="preserve">                                                                                                                                     </w:t>
      </w:r>
      <w:r w:rsidR="00B5002B">
        <w:t xml:space="preserve">                             </w:t>
      </w:r>
      <w:r w:rsidR="00B44F7F">
        <w:t xml:space="preserve"> </w:t>
      </w:r>
      <w:r w:rsidR="00B44F7F" w:rsidRPr="00B44F7F">
        <w:rPr>
          <w:sz w:val="36"/>
          <w:szCs w:val="36"/>
        </w:rPr>
        <w:t>ALLEGATO 1</w:t>
      </w:r>
      <w:r w:rsidR="00163638">
        <w:rPr>
          <w:sz w:val="36"/>
          <w:szCs w:val="36"/>
        </w:rPr>
        <w:t>8</w:t>
      </w:r>
    </w:p>
    <w:p w:rsidR="00B44F7F" w:rsidRDefault="00163638" w:rsidP="00B44F7F">
      <w:pPr>
        <w:rPr>
          <w:sz w:val="36"/>
          <w:szCs w:val="36"/>
        </w:rPr>
      </w:pPr>
      <w:r>
        <w:rPr>
          <w:sz w:val="36"/>
          <w:szCs w:val="36"/>
        </w:rPr>
        <w:t>“EFFETTI DEL BUONO E DEL CATTIVO GOVERNO” di Ambrogio Lorenzetti</w:t>
      </w:r>
    </w:p>
    <w:p w:rsidR="00163638" w:rsidRPr="00163638" w:rsidRDefault="00163638" w:rsidP="00163638">
      <w:pPr>
        <w:shd w:val="clear" w:color="auto" w:fill="FFFFFF"/>
        <w:spacing w:after="446" w:line="240" w:lineRule="auto"/>
        <w:jc w:val="both"/>
        <w:rPr>
          <w:rFonts w:eastAsia="Times New Roman" w:cstheme="minorHAnsi"/>
          <w:color w:val="222222"/>
          <w:sz w:val="32"/>
          <w:szCs w:val="32"/>
          <w:lang w:eastAsia="it-IT"/>
        </w:rPr>
      </w:pP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L’</w:t>
      </w:r>
      <w:r w:rsidRPr="00163638">
        <w:rPr>
          <w:rFonts w:eastAsia="Times New Roman" w:cstheme="minorHAnsi"/>
          <w:bCs/>
          <w:color w:val="222222"/>
          <w:sz w:val="32"/>
          <w:szCs w:val="32"/>
          <w:lang w:eastAsia="it-IT"/>
        </w:rPr>
        <w:t>Allegoria del Buono e del Cattivo Governo</w:t>
      </w: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 del pittore senese </w:t>
      </w:r>
      <w:r w:rsidRPr="00163638">
        <w:rPr>
          <w:rFonts w:eastAsia="Times New Roman" w:cstheme="minorHAnsi"/>
          <w:bCs/>
          <w:color w:val="222222"/>
          <w:sz w:val="32"/>
          <w:szCs w:val="32"/>
          <w:lang w:eastAsia="it-IT"/>
        </w:rPr>
        <w:t>Ambrogio Lorenzetti</w:t>
      </w: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 (1290-1348) è un grandioso ciclo di affreschi realizzato tra il 1337 e il 1339 nella Sala dei Nove del Palazzo Pubblico di Siena.</w:t>
      </w:r>
    </w:p>
    <w:p w:rsidR="00163638" w:rsidRPr="00163638" w:rsidRDefault="00163638" w:rsidP="00163638">
      <w:pPr>
        <w:shd w:val="clear" w:color="auto" w:fill="FFFFFF"/>
        <w:spacing w:after="446" w:line="240" w:lineRule="auto"/>
        <w:jc w:val="both"/>
        <w:rPr>
          <w:rFonts w:eastAsia="Times New Roman" w:cstheme="minorHAnsi"/>
          <w:color w:val="222222"/>
          <w:sz w:val="32"/>
          <w:szCs w:val="32"/>
          <w:lang w:eastAsia="it-IT"/>
        </w:rPr>
      </w:pP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L’Allegoria del Buono e del Cattivo Governo è considerata la prima opera pittorica di carattere laico e civile della storia dell’arte italiana, perché è stata commissionata non dalla Chiesa, come per lo più accadeva in quel tempo, ma dal Governo dei Nove, un </w:t>
      </w:r>
      <w:hyperlink r:id="rId5" w:history="1">
        <w:r w:rsidRPr="00163638">
          <w:rPr>
            <w:rFonts w:eastAsia="Times New Roman" w:cstheme="minorHAnsi"/>
            <w:bCs/>
            <w:sz w:val="32"/>
            <w:szCs w:val="32"/>
            <w:lang w:eastAsia="it-IT"/>
          </w:rPr>
          <w:t>regime guelfo</w:t>
        </w:r>
      </w:hyperlink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 e non aristocratico in carica dal 1287 al 1355.</w:t>
      </w:r>
    </w:p>
    <w:p w:rsidR="00163638" w:rsidRPr="00163638" w:rsidRDefault="00163638" w:rsidP="00163638">
      <w:pPr>
        <w:shd w:val="clear" w:color="auto" w:fill="FFFFFF"/>
        <w:spacing w:after="446" w:line="240" w:lineRule="auto"/>
        <w:jc w:val="both"/>
        <w:rPr>
          <w:rFonts w:eastAsia="Times New Roman" w:cstheme="minorHAnsi"/>
          <w:color w:val="222222"/>
          <w:sz w:val="32"/>
          <w:szCs w:val="32"/>
          <w:lang w:eastAsia="it-IT"/>
        </w:rPr>
      </w:pP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Gli affreschi furono voluti in un periodo di carestie, di sommosse e di generale instabilità per rassicurare i senesi della bontà e della giustizia del governo e al tempo stesso dissuadere chi provasse a manifestare il proprio dissenso.</w:t>
      </w:r>
    </w:p>
    <w:p w:rsidR="00163638" w:rsidRPr="00163638" w:rsidRDefault="00163638" w:rsidP="00163638">
      <w:pPr>
        <w:shd w:val="clear" w:color="auto" w:fill="FFFFFF"/>
        <w:spacing w:after="446" w:line="240" w:lineRule="auto"/>
        <w:jc w:val="both"/>
        <w:rPr>
          <w:rFonts w:eastAsia="Times New Roman" w:cstheme="minorHAnsi"/>
          <w:color w:val="222222"/>
          <w:sz w:val="32"/>
          <w:szCs w:val="32"/>
          <w:lang w:eastAsia="it-IT"/>
        </w:rPr>
      </w:pP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La rappresentazione di Lorenzetti si articola in quattro scene fondamentali che coprono tre pareti della sala. Gli affreschi sono accompagnati da iscrizioni in endecasillabi e settenari.</w:t>
      </w:r>
    </w:p>
    <w:p w:rsidR="00163638" w:rsidRPr="00163638" w:rsidRDefault="00163638" w:rsidP="00163638">
      <w:pPr>
        <w:shd w:val="clear" w:color="auto" w:fill="FFFFFF"/>
        <w:spacing w:after="446" w:line="240" w:lineRule="auto"/>
        <w:jc w:val="both"/>
        <w:rPr>
          <w:rFonts w:eastAsia="Times New Roman" w:cstheme="minorHAnsi"/>
          <w:color w:val="222222"/>
          <w:sz w:val="32"/>
          <w:szCs w:val="32"/>
          <w:lang w:eastAsia="it-IT"/>
        </w:rPr>
      </w:pP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Sulla parete settentrionale è raffigurata l’</w:t>
      </w:r>
      <w:r w:rsidRPr="00163638">
        <w:rPr>
          <w:rFonts w:eastAsia="Times New Roman" w:cstheme="minorHAnsi"/>
          <w:bCs/>
          <w:color w:val="222222"/>
          <w:sz w:val="32"/>
          <w:szCs w:val="32"/>
          <w:lang w:eastAsia="it-IT"/>
        </w:rPr>
        <w:t>Allegoria del Buon Governo</w:t>
      </w: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. Il titolo Buon Governo risale al XVIII secolo. Le fonti più antiche infatti si riferiscono al ciclo del Buon Governo come a “La pace e la guerra”.</w:t>
      </w:r>
    </w:p>
    <w:p w:rsidR="00163638" w:rsidRDefault="00163638" w:rsidP="00163638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 w:rsidRPr="00163638">
        <w:rPr>
          <w:rFonts w:eastAsia="Times New Roman" w:cstheme="minorHAnsi"/>
          <w:noProof/>
          <w:sz w:val="32"/>
          <w:szCs w:val="32"/>
          <w:lang w:eastAsia="it-IT"/>
        </w:rPr>
        <w:drawing>
          <wp:inline distT="0" distB="0" distL="0" distR="0">
            <wp:extent cx="5715000" cy="2406015"/>
            <wp:effectExtent l="19050" t="0" r="0" b="0"/>
            <wp:docPr id="7" name="Immagine 7" descr="Allegoria del Buono e del Cattivo Gover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llegoria del Buono e del Cattivo Governo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406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3638" w:rsidRPr="00163638" w:rsidRDefault="00163638" w:rsidP="00163638">
      <w:pPr>
        <w:spacing w:after="0" w:line="240" w:lineRule="auto"/>
        <w:jc w:val="both"/>
        <w:rPr>
          <w:rFonts w:eastAsia="Times New Roman" w:cstheme="minorHAnsi"/>
          <w:sz w:val="32"/>
          <w:szCs w:val="32"/>
          <w:lang w:eastAsia="it-IT"/>
        </w:rPr>
      </w:pPr>
      <w:r w:rsidRPr="00163638">
        <w:rPr>
          <w:rFonts w:eastAsia="Times New Roman" w:cstheme="minorHAnsi"/>
          <w:sz w:val="24"/>
          <w:szCs w:val="24"/>
          <w:lang w:eastAsia="it-IT"/>
        </w:rPr>
        <w:t>Ambrogio</w:t>
      </w:r>
      <w:r w:rsidRPr="00163638">
        <w:rPr>
          <w:rFonts w:eastAsia="Times New Roman" w:cstheme="minorHAnsi"/>
          <w:sz w:val="32"/>
          <w:szCs w:val="32"/>
          <w:lang w:eastAsia="it-IT"/>
        </w:rPr>
        <w:t xml:space="preserve"> </w:t>
      </w:r>
      <w:r w:rsidRPr="00163638">
        <w:rPr>
          <w:rFonts w:eastAsia="Times New Roman" w:cstheme="minorHAnsi"/>
          <w:sz w:val="24"/>
          <w:szCs w:val="24"/>
          <w:lang w:eastAsia="it-IT"/>
        </w:rPr>
        <w:t>Lorenzetti, Allegoria del Buon Governo, 1337-1339, affresco, part., Siena, Palazzo Pubblico, Sala dei Nove</w:t>
      </w:r>
    </w:p>
    <w:p w:rsidR="00163638" w:rsidRDefault="00163638" w:rsidP="00163638">
      <w:pPr>
        <w:shd w:val="clear" w:color="auto" w:fill="FFFFFF"/>
        <w:spacing w:after="446" w:line="240" w:lineRule="auto"/>
        <w:jc w:val="both"/>
        <w:rPr>
          <w:rFonts w:eastAsia="Times New Roman" w:cstheme="minorHAnsi"/>
          <w:color w:val="222222"/>
          <w:sz w:val="32"/>
          <w:szCs w:val="32"/>
          <w:lang w:eastAsia="it-IT"/>
        </w:rPr>
      </w:pPr>
    </w:p>
    <w:p w:rsidR="00163638" w:rsidRPr="00163638" w:rsidRDefault="00163638" w:rsidP="00163638">
      <w:pPr>
        <w:shd w:val="clear" w:color="auto" w:fill="FFFFFF"/>
        <w:spacing w:after="446" w:line="240" w:lineRule="auto"/>
        <w:jc w:val="both"/>
        <w:rPr>
          <w:rFonts w:eastAsia="Times New Roman" w:cstheme="minorHAnsi"/>
          <w:color w:val="222222"/>
          <w:sz w:val="32"/>
          <w:szCs w:val="32"/>
          <w:lang w:eastAsia="it-IT"/>
        </w:rPr>
      </w:pP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lastRenderedPageBreak/>
        <w:t>È essenziale il ruolo della </w:t>
      </w:r>
      <w:r w:rsidRPr="00163638">
        <w:rPr>
          <w:rFonts w:eastAsia="Times New Roman" w:cstheme="minorHAnsi"/>
          <w:bCs/>
          <w:color w:val="222222"/>
          <w:sz w:val="32"/>
          <w:szCs w:val="32"/>
          <w:lang w:eastAsia="it-IT"/>
        </w:rPr>
        <w:t>Giustizia</w:t>
      </w: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, rappresentata nell’</w:t>
      </w:r>
      <w:r w:rsidRPr="00163638">
        <w:rPr>
          <w:rFonts w:eastAsia="Times New Roman" w:cstheme="minorHAnsi"/>
          <w:bCs/>
          <w:i/>
          <w:iCs/>
          <w:color w:val="222222"/>
          <w:sz w:val="32"/>
          <w:szCs w:val="32"/>
          <w:lang w:eastAsia="it-IT"/>
        </w:rPr>
        <w:t>Allegoria</w:t>
      </w:r>
      <w:r w:rsidRPr="00163638">
        <w:rPr>
          <w:rFonts w:eastAsia="Times New Roman" w:cstheme="minorHAnsi"/>
          <w:bCs/>
          <w:color w:val="222222"/>
          <w:sz w:val="32"/>
          <w:szCs w:val="32"/>
          <w:lang w:eastAsia="it-IT"/>
        </w:rPr>
        <w:t> </w:t>
      </w:r>
      <w:r w:rsidRPr="00163638">
        <w:rPr>
          <w:rFonts w:eastAsia="Times New Roman" w:cstheme="minorHAnsi"/>
          <w:bCs/>
          <w:i/>
          <w:iCs/>
          <w:color w:val="222222"/>
          <w:sz w:val="32"/>
          <w:szCs w:val="32"/>
          <w:lang w:eastAsia="it-IT"/>
        </w:rPr>
        <w:t>del Buon Governo</w:t>
      </w: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 due volte. La prima – seduta sul trono a sinistra – è collegata con la </w:t>
      </w:r>
      <w:r w:rsidRPr="00163638">
        <w:rPr>
          <w:rFonts w:eastAsia="Times New Roman" w:cstheme="minorHAnsi"/>
          <w:bCs/>
          <w:color w:val="222222"/>
          <w:sz w:val="32"/>
          <w:szCs w:val="32"/>
          <w:lang w:eastAsia="it-IT"/>
        </w:rPr>
        <w:t>Sapienza</w:t>
      </w: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, che le vola sopra il capo, e con la </w:t>
      </w:r>
      <w:r w:rsidRPr="00163638">
        <w:rPr>
          <w:rFonts w:eastAsia="Times New Roman" w:cstheme="minorHAnsi"/>
          <w:bCs/>
          <w:color w:val="222222"/>
          <w:sz w:val="32"/>
          <w:szCs w:val="32"/>
          <w:lang w:eastAsia="it-IT"/>
        </w:rPr>
        <w:t>Concordia</w:t>
      </w: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, seduta ai suoi piedi. La seconda affianca il </w:t>
      </w:r>
      <w:r w:rsidRPr="00163638">
        <w:rPr>
          <w:rFonts w:eastAsia="Times New Roman" w:cstheme="minorHAnsi"/>
          <w:bCs/>
          <w:color w:val="222222"/>
          <w:sz w:val="32"/>
          <w:szCs w:val="32"/>
          <w:lang w:eastAsia="it-IT"/>
        </w:rPr>
        <w:t>Bene comune</w:t>
      </w: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 – rappresentato dal vecchio e saggio monarca che siede sul trono – insieme alle altre virtù cardinali (</w:t>
      </w:r>
      <w:r w:rsidRPr="00163638">
        <w:rPr>
          <w:rFonts w:eastAsia="Times New Roman" w:cstheme="minorHAnsi"/>
          <w:bCs/>
          <w:color w:val="222222"/>
          <w:sz w:val="32"/>
          <w:szCs w:val="32"/>
          <w:lang w:eastAsia="it-IT"/>
        </w:rPr>
        <w:t>Prudenza</w:t>
      </w: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, </w:t>
      </w:r>
      <w:r w:rsidRPr="00163638">
        <w:rPr>
          <w:rFonts w:eastAsia="Times New Roman" w:cstheme="minorHAnsi"/>
          <w:bCs/>
          <w:color w:val="222222"/>
          <w:sz w:val="32"/>
          <w:szCs w:val="32"/>
          <w:lang w:eastAsia="it-IT"/>
        </w:rPr>
        <w:t>Fortezza</w:t>
      </w: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 e </w:t>
      </w:r>
      <w:r w:rsidRPr="00163638">
        <w:rPr>
          <w:rFonts w:eastAsia="Times New Roman" w:cstheme="minorHAnsi"/>
          <w:bCs/>
          <w:color w:val="222222"/>
          <w:sz w:val="32"/>
          <w:szCs w:val="32"/>
          <w:lang w:eastAsia="it-IT"/>
        </w:rPr>
        <w:t>Temperanza</w:t>
      </w: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) e alla </w:t>
      </w:r>
      <w:r w:rsidRPr="00163638">
        <w:rPr>
          <w:rFonts w:eastAsia="Times New Roman" w:cstheme="minorHAnsi"/>
          <w:bCs/>
          <w:color w:val="222222"/>
          <w:sz w:val="32"/>
          <w:szCs w:val="32"/>
          <w:lang w:eastAsia="it-IT"/>
        </w:rPr>
        <w:t>Pace</w:t>
      </w: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 e alla </w:t>
      </w:r>
      <w:r w:rsidRPr="00163638">
        <w:rPr>
          <w:rFonts w:eastAsia="Times New Roman" w:cstheme="minorHAnsi"/>
          <w:bCs/>
          <w:color w:val="222222"/>
          <w:sz w:val="32"/>
          <w:szCs w:val="32"/>
          <w:lang w:eastAsia="it-IT"/>
        </w:rPr>
        <w:t>Magnanimità</w:t>
      </w: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. Le virtù teologali (</w:t>
      </w:r>
      <w:r w:rsidRPr="00163638">
        <w:rPr>
          <w:rFonts w:eastAsia="Times New Roman" w:cstheme="minorHAnsi"/>
          <w:bCs/>
          <w:color w:val="222222"/>
          <w:sz w:val="32"/>
          <w:szCs w:val="32"/>
          <w:lang w:eastAsia="it-IT"/>
        </w:rPr>
        <w:t>Fede</w:t>
      </w: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, </w:t>
      </w:r>
      <w:r w:rsidRPr="00163638">
        <w:rPr>
          <w:rFonts w:eastAsia="Times New Roman" w:cstheme="minorHAnsi"/>
          <w:bCs/>
          <w:color w:val="222222"/>
          <w:sz w:val="32"/>
          <w:szCs w:val="32"/>
          <w:lang w:eastAsia="it-IT"/>
        </w:rPr>
        <w:t>Speranza</w:t>
      </w: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, </w:t>
      </w:r>
      <w:r w:rsidRPr="00163638">
        <w:rPr>
          <w:rFonts w:eastAsia="Times New Roman" w:cstheme="minorHAnsi"/>
          <w:bCs/>
          <w:color w:val="222222"/>
          <w:sz w:val="32"/>
          <w:szCs w:val="32"/>
          <w:lang w:eastAsia="it-IT"/>
        </w:rPr>
        <w:t>Carità</w:t>
      </w: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), invece, sono dipinte in alto.</w:t>
      </w:r>
    </w:p>
    <w:p w:rsidR="00163638" w:rsidRPr="00163638" w:rsidRDefault="00163638" w:rsidP="00163638">
      <w:pPr>
        <w:shd w:val="clear" w:color="auto" w:fill="FFFFFF"/>
        <w:spacing w:after="446" w:line="240" w:lineRule="auto"/>
        <w:jc w:val="both"/>
        <w:rPr>
          <w:rFonts w:eastAsia="Times New Roman" w:cstheme="minorHAnsi"/>
          <w:color w:val="222222"/>
          <w:sz w:val="32"/>
          <w:szCs w:val="32"/>
          <w:lang w:eastAsia="it-IT"/>
        </w:rPr>
      </w:pP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Nella zona inferiore dell’</w:t>
      </w:r>
      <w:r w:rsidRPr="00163638">
        <w:rPr>
          <w:rFonts w:eastAsia="Times New Roman" w:cstheme="minorHAnsi"/>
          <w:bCs/>
          <w:i/>
          <w:iCs/>
          <w:color w:val="222222"/>
          <w:sz w:val="32"/>
          <w:szCs w:val="32"/>
          <w:lang w:eastAsia="it-IT"/>
        </w:rPr>
        <w:t>Allegoria del Buon Governo</w:t>
      </w: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 xml:space="preserve">, ventiquattro cittadini sfilano reggendo una stessa corda. A destra, si vedono i prigionieri. I bambini con la lupa ai piedi del Bene comune sono </w:t>
      </w:r>
      <w:proofErr w:type="spellStart"/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Aschio</w:t>
      </w:r>
      <w:proofErr w:type="spellEnd"/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 xml:space="preserve"> e </w:t>
      </w:r>
      <w:proofErr w:type="spellStart"/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Senio</w:t>
      </w:r>
      <w:proofErr w:type="spellEnd"/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, figli di Remo e mitici fondatori di Siena.</w:t>
      </w:r>
    </w:p>
    <w:p w:rsidR="00163638" w:rsidRPr="00163638" w:rsidRDefault="00163638" w:rsidP="00163638">
      <w:pPr>
        <w:shd w:val="clear" w:color="auto" w:fill="FFFFFF"/>
        <w:spacing w:after="446" w:line="240" w:lineRule="auto"/>
        <w:jc w:val="both"/>
        <w:rPr>
          <w:rFonts w:eastAsia="Times New Roman" w:cstheme="minorHAnsi"/>
          <w:color w:val="222222"/>
          <w:sz w:val="32"/>
          <w:szCs w:val="32"/>
          <w:lang w:eastAsia="it-IT"/>
        </w:rPr>
      </w:pP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Alla base della rappresentazione del Buon governo c’è la nozione aristotelica e tomistica del </w:t>
      </w:r>
      <w:r w:rsidRPr="00163638">
        <w:rPr>
          <w:rFonts w:eastAsia="Times New Roman" w:cstheme="minorHAnsi"/>
          <w:bCs/>
          <w:color w:val="222222"/>
          <w:sz w:val="32"/>
          <w:szCs w:val="32"/>
          <w:lang w:eastAsia="it-IT"/>
        </w:rPr>
        <w:t>primato del bene comune su quello individuale</w:t>
      </w: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, c</w:t>
      </w:r>
      <w:r>
        <w:rPr>
          <w:rFonts w:eastAsia="Times New Roman" w:cstheme="minorHAnsi"/>
          <w:color w:val="222222"/>
          <w:sz w:val="32"/>
          <w:szCs w:val="32"/>
          <w:lang w:eastAsia="it-IT"/>
        </w:rPr>
        <w:t>ioè l’idea della nec</w:t>
      </w: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 xml:space="preserve">essità di subordinare l’interesse privato ai bisogni della comunità. La comunità esige la pace e la </w:t>
      </w:r>
      <w:proofErr w:type="spellStart"/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sicu</w:t>
      </w:r>
      <w:r>
        <w:rPr>
          <w:rFonts w:eastAsia="Times New Roman" w:cstheme="minorHAnsi"/>
          <w:color w:val="222222"/>
          <w:sz w:val="32"/>
          <w:szCs w:val="32"/>
          <w:lang w:eastAsia="it-IT"/>
        </w:rPr>
        <w:t>R</w:t>
      </w: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ezza</w:t>
      </w:r>
      <w:proofErr w:type="spellEnd"/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 xml:space="preserve"> dei suoi membri, a cui tende mediante la forza e la concordia. La </w:t>
      </w:r>
      <w:r w:rsidRPr="00163638">
        <w:rPr>
          <w:rFonts w:eastAsia="Times New Roman" w:cstheme="minorHAnsi"/>
          <w:bCs/>
          <w:color w:val="222222"/>
          <w:sz w:val="32"/>
          <w:szCs w:val="32"/>
          <w:lang w:eastAsia="it-IT"/>
        </w:rPr>
        <w:t>forza</w:t>
      </w: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 è rappresentata da Lorenzetti con la raffigurazione di un corteo di prigionieri e soldati, simbolo del potere coercitivo dello Stato. La </w:t>
      </w:r>
      <w:r w:rsidRPr="00163638">
        <w:rPr>
          <w:rFonts w:eastAsia="Times New Roman" w:cstheme="minorHAnsi"/>
          <w:bCs/>
          <w:color w:val="222222"/>
          <w:sz w:val="32"/>
          <w:szCs w:val="32"/>
          <w:lang w:eastAsia="it-IT"/>
        </w:rPr>
        <w:t>concordia</w:t>
      </w: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 è rappresentata da una corda (che la Concordia riceve dalla Giustizia) che unisce tra loro i ventiquattro consiglieri della repubblica ritratti in corteo. Il tendersi di un’unica fune rende efficacemente il senso di un’</w:t>
      </w:r>
      <w:r w:rsidRPr="00163638">
        <w:rPr>
          <w:rFonts w:eastAsia="Times New Roman" w:cstheme="minorHAnsi"/>
          <w:bCs/>
          <w:color w:val="222222"/>
          <w:sz w:val="32"/>
          <w:szCs w:val="32"/>
          <w:lang w:eastAsia="it-IT"/>
        </w:rPr>
        <w:t>impresa collettiva</w:t>
      </w: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, di un bene che è frutto di un “patto”, cioè di un legame reciproco.</w:t>
      </w:r>
    </w:p>
    <w:p w:rsidR="00163638" w:rsidRPr="00163638" w:rsidRDefault="00163638" w:rsidP="00163638">
      <w:pPr>
        <w:shd w:val="clear" w:color="auto" w:fill="FFFFFF"/>
        <w:spacing w:after="446" w:line="240" w:lineRule="auto"/>
        <w:jc w:val="both"/>
        <w:rPr>
          <w:rFonts w:eastAsia="Times New Roman" w:cstheme="minorHAnsi"/>
          <w:color w:val="222222"/>
          <w:sz w:val="32"/>
          <w:szCs w:val="32"/>
          <w:lang w:eastAsia="it-IT"/>
        </w:rPr>
      </w:pP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Sulla parete ovest si trovano </w:t>
      </w:r>
      <w:r w:rsidRPr="00163638">
        <w:rPr>
          <w:rFonts w:eastAsia="Times New Roman" w:cstheme="minorHAnsi"/>
          <w:bCs/>
          <w:i/>
          <w:iCs/>
          <w:color w:val="222222"/>
          <w:sz w:val="32"/>
          <w:szCs w:val="32"/>
          <w:lang w:eastAsia="it-IT"/>
        </w:rPr>
        <w:t>Allegoria ed effetti del Cattivo Governo in città e in campagna</w:t>
      </w: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. La parete è in cattivo stato di conservazione e presenta molte lacune.</w:t>
      </w:r>
    </w:p>
    <w:p w:rsidR="00163638" w:rsidRDefault="00163638" w:rsidP="00163638">
      <w:pPr>
        <w:spacing w:after="0" w:line="240" w:lineRule="auto"/>
        <w:jc w:val="both"/>
        <w:rPr>
          <w:rFonts w:eastAsia="Times New Roman" w:cstheme="minorHAnsi"/>
          <w:sz w:val="28"/>
          <w:szCs w:val="28"/>
          <w:lang w:eastAsia="it-IT"/>
        </w:rPr>
      </w:pPr>
      <w:r w:rsidRPr="00163638">
        <w:rPr>
          <w:rFonts w:eastAsia="Times New Roman" w:cstheme="minorHAnsi"/>
          <w:noProof/>
          <w:sz w:val="32"/>
          <w:szCs w:val="32"/>
          <w:lang w:eastAsia="it-IT"/>
        </w:rPr>
        <w:drawing>
          <wp:inline distT="0" distB="0" distL="0" distR="0">
            <wp:extent cx="5715000" cy="3232785"/>
            <wp:effectExtent l="19050" t="0" r="0" b="0"/>
            <wp:docPr id="8" name="Immagine 8" descr="allegoria del buono e del cattivo gover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llegoria del buono e del cattivo govern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232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3638" w:rsidRPr="00163638" w:rsidRDefault="00163638" w:rsidP="00163638">
      <w:pPr>
        <w:spacing w:after="0" w:line="240" w:lineRule="auto"/>
        <w:jc w:val="both"/>
        <w:rPr>
          <w:rFonts w:eastAsia="Times New Roman" w:cstheme="minorHAnsi"/>
          <w:sz w:val="28"/>
          <w:szCs w:val="28"/>
          <w:lang w:eastAsia="it-IT"/>
        </w:rPr>
      </w:pPr>
      <w:r w:rsidRPr="00163638">
        <w:rPr>
          <w:rFonts w:eastAsia="Times New Roman" w:cstheme="minorHAnsi"/>
          <w:sz w:val="28"/>
          <w:szCs w:val="28"/>
          <w:lang w:eastAsia="it-IT"/>
        </w:rPr>
        <w:t>Allegoria del Cattivo Governo, 1337-1339, affresco, particolare, Siena, Palazzo Pubblico, Sala dei Nove</w:t>
      </w:r>
    </w:p>
    <w:p w:rsidR="00163638" w:rsidRPr="00163638" w:rsidRDefault="00163638" w:rsidP="00163638">
      <w:pPr>
        <w:shd w:val="clear" w:color="auto" w:fill="FFFFFF"/>
        <w:spacing w:after="446" w:line="240" w:lineRule="auto"/>
        <w:jc w:val="both"/>
        <w:rPr>
          <w:rFonts w:eastAsia="Times New Roman" w:cstheme="minorHAnsi"/>
          <w:color w:val="222222"/>
          <w:sz w:val="32"/>
          <w:szCs w:val="32"/>
          <w:lang w:eastAsia="it-IT"/>
        </w:rPr>
      </w:pP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lastRenderedPageBreak/>
        <w:t>Il </w:t>
      </w:r>
      <w:r w:rsidRPr="00163638">
        <w:rPr>
          <w:rFonts w:eastAsia="Times New Roman" w:cstheme="minorHAnsi"/>
          <w:bCs/>
          <w:color w:val="222222"/>
          <w:sz w:val="32"/>
          <w:szCs w:val="32"/>
          <w:lang w:eastAsia="it-IT"/>
        </w:rPr>
        <w:t>Cattivo Governo</w:t>
      </w: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 è raffigurato come un uomo vestito di nero e con le corna (evidente simbolo del demonio), circondato dalle rappresentazioni allegoriche della </w:t>
      </w:r>
      <w:r w:rsidRPr="00163638">
        <w:rPr>
          <w:rFonts w:eastAsia="Times New Roman" w:cstheme="minorHAnsi"/>
          <w:bCs/>
          <w:color w:val="222222"/>
          <w:sz w:val="32"/>
          <w:szCs w:val="32"/>
          <w:lang w:eastAsia="it-IT"/>
        </w:rPr>
        <w:t>Crudeltà</w:t>
      </w: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, della </w:t>
      </w:r>
      <w:r w:rsidRPr="00163638">
        <w:rPr>
          <w:rFonts w:eastAsia="Times New Roman" w:cstheme="minorHAnsi"/>
          <w:bCs/>
          <w:color w:val="222222"/>
          <w:sz w:val="32"/>
          <w:szCs w:val="32"/>
          <w:lang w:eastAsia="it-IT"/>
        </w:rPr>
        <w:t>Discordia</w:t>
      </w: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, della </w:t>
      </w:r>
      <w:r w:rsidRPr="00163638">
        <w:rPr>
          <w:rFonts w:eastAsia="Times New Roman" w:cstheme="minorHAnsi"/>
          <w:bCs/>
          <w:color w:val="222222"/>
          <w:sz w:val="32"/>
          <w:szCs w:val="32"/>
          <w:lang w:eastAsia="it-IT"/>
        </w:rPr>
        <w:t>Guerra</w:t>
      </w: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, della </w:t>
      </w:r>
      <w:r w:rsidRPr="00163638">
        <w:rPr>
          <w:rFonts w:eastAsia="Times New Roman" w:cstheme="minorHAnsi"/>
          <w:bCs/>
          <w:color w:val="222222"/>
          <w:sz w:val="32"/>
          <w:szCs w:val="32"/>
          <w:lang w:eastAsia="it-IT"/>
        </w:rPr>
        <w:t>Perfidia</w:t>
      </w: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, della </w:t>
      </w:r>
      <w:r w:rsidRPr="00163638">
        <w:rPr>
          <w:rFonts w:eastAsia="Times New Roman" w:cstheme="minorHAnsi"/>
          <w:bCs/>
          <w:color w:val="222222"/>
          <w:sz w:val="32"/>
          <w:szCs w:val="32"/>
          <w:lang w:eastAsia="it-IT"/>
        </w:rPr>
        <w:t>Frode</w:t>
      </w: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, dell’</w:t>
      </w:r>
      <w:r w:rsidRPr="00163638">
        <w:rPr>
          <w:rFonts w:eastAsia="Times New Roman" w:cstheme="minorHAnsi"/>
          <w:bCs/>
          <w:color w:val="222222"/>
          <w:sz w:val="32"/>
          <w:szCs w:val="32"/>
          <w:lang w:eastAsia="it-IT"/>
        </w:rPr>
        <w:t>Ira</w:t>
      </w: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, della </w:t>
      </w:r>
      <w:r>
        <w:rPr>
          <w:rFonts w:eastAsia="Times New Roman" w:cstheme="minorHAnsi"/>
          <w:bCs/>
          <w:color w:val="222222"/>
          <w:sz w:val="32"/>
          <w:szCs w:val="32"/>
          <w:lang w:eastAsia="it-IT"/>
        </w:rPr>
        <w:t>Tir</w:t>
      </w:r>
      <w:r w:rsidRPr="00163638">
        <w:rPr>
          <w:rFonts w:eastAsia="Times New Roman" w:cstheme="minorHAnsi"/>
          <w:bCs/>
          <w:color w:val="222222"/>
          <w:sz w:val="32"/>
          <w:szCs w:val="32"/>
          <w:lang w:eastAsia="it-IT"/>
        </w:rPr>
        <w:t>an</w:t>
      </w:r>
      <w:r>
        <w:rPr>
          <w:rFonts w:eastAsia="Times New Roman" w:cstheme="minorHAnsi"/>
          <w:bCs/>
          <w:color w:val="222222"/>
          <w:sz w:val="32"/>
          <w:szCs w:val="32"/>
          <w:lang w:eastAsia="it-IT"/>
        </w:rPr>
        <w:t>n</w:t>
      </w:r>
      <w:r w:rsidRPr="00163638">
        <w:rPr>
          <w:rFonts w:eastAsia="Times New Roman" w:cstheme="minorHAnsi"/>
          <w:bCs/>
          <w:color w:val="222222"/>
          <w:sz w:val="32"/>
          <w:szCs w:val="32"/>
          <w:lang w:eastAsia="it-IT"/>
        </w:rPr>
        <w:t>ide</w:t>
      </w: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, dell’</w:t>
      </w:r>
      <w:r w:rsidRPr="00163638">
        <w:rPr>
          <w:rFonts w:eastAsia="Times New Roman" w:cstheme="minorHAnsi"/>
          <w:bCs/>
          <w:color w:val="222222"/>
          <w:sz w:val="32"/>
          <w:szCs w:val="32"/>
          <w:lang w:eastAsia="it-IT"/>
        </w:rPr>
        <w:t>Avarizia</w:t>
      </w: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, della </w:t>
      </w:r>
      <w:r w:rsidRPr="00163638">
        <w:rPr>
          <w:rFonts w:eastAsia="Times New Roman" w:cstheme="minorHAnsi"/>
          <w:bCs/>
          <w:color w:val="222222"/>
          <w:sz w:val="32"/>
          <w:szCs w:val="32"/>
          <w:lang w:eastAsia="it-IT"/>
        </w:rPr>
        <w:t>Superbia</w:t>
      </w: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 e della </w:t>
      </w:r>
      <w:r w:rsidRPr="00163638">
        <w:rPr>
          <w:rFonts w:eastAsia="Times New Roman" w:cstheme="minorHAnsi"/>
          <w:bCs/>
          <w:color w:val="222222"/>
          <w:sz w:val="32"/>
          <w:szCs w:val="32"/>
          <w:lang w:eastAsia="it-IT"/>
        </w:rPr>
        <w:t>Vanagloria</w:t>
      </w:r>
      <w:r w:rsidRPr="00163638">
        <w:rPr>
          <w:rFonts w:eastAsia="Times New Roman" w:cstheme="minorHAnsi"/>
          <w:color w:val="222222"/>
          <w:sz w:val="32"/>
          <w:szCs w:val="32"/>
          <w:lang w:eastAsia="it-IT"/>
        </w:rPr>
        <w:t>. La città è in rovina e gli sgherri maltrattano i cittadini.</w:t>
      </w:r>
    </w:p>
    <w:p w:rsidR="00163638" w:rsidRPr="00163638" w:rsidRDefault="00163638" w:rsidP="00B44F7F">
      <w:pPr>
        <w:rPr>
          <w:rFonts w:cstheme="minorHAnsi"/>
          <w:sz w:val="32"/>
          <w:szCs w:val="32"/>
        </w:rPr>
      </w:pPr>
    </w:p>
    <w:p w:rsidR="00163638" w:rsidRDefault="00163638" w:rsidP="00B44F7F">
      <w:pPr>
        <w:rPr>
          <w:sz w:val="36"/>
          <w:szCs w:val="36"/>
        </w:rPr>
      </w:pPr>
    </w:p>
    <w:p w:rsidR="00163638" w:rsidRDefault="00163638" w:rsidP="00B44F7F">
      <w:pPr>
        <w:rPr>
          <w:sz w:val="36"/>
          <w:szCs w:val="36"/>
        </w:rPr>
      </w:pPr>
    </w:p>
    <w:p w:rsidR="00163638" w:rsidRDefault="00163638" w:rsidP="00B44F7F">
      <w:pPr>
        <w:rPr>
          <w:noProof/>
          <w:lang w:eastAsia="it-IT"/>
        </w:rPr>
      </w:pPr>
    </w:p>
    <w:p w:rsidR="00163638" w:rsidRDefault="00163638" w:rsidP="00B44F7F">
      <w:pPr>
        <w:rPr>
          <w:sz w:val="36"/>
          <w:szCs w:val="36"/>
        </w:rPr>
      </w:pPr>
    </w:p>
    <w:p w:rsidR="005C608A" w:rsidRPr="00DE11C5" w:rsidRDefault="005C608A" w:rsidP="00590804">
      <w:pPr>
        <w:spacing w:after="0"/>
        <w:jc w:val="both"/>
        <w:rPr>
          <w:rFonts w:cstheme="minorHAnsi"/>
          <w:i/>
          <w:color w:val="A6A6A6" w:themeColor="background1" w:themeShade="A6"/>
          <w:sz w:val="32"/>
          <w:szCs w:val="32"/>
        </w:rPr>
      </w:pPr>
    </w:p>
    <w:sectPr w:rsidR="005C608A" w:rsidRPr="00DE11C5" w:rsidSect="00B44F7F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B44F7F"/>
    <w:rsid w:val="00045AC4"/>
    <w:rsid w:val="000558BD"/>
    <w:rsid w:val="00163638"/>
    <w:rsid w:val="001E42C0"/>
    <w:rsid w:val="002015DC"/>
    <w:rsid w:val="00585A5B"/>
    <w:rsid w:val="00590804"/>
    <w:rsid w:val="005C608A"/>
    <w:rsid w:val="00945A50"/>
    <w:rsid w:val="00A74ED6"/>
    <w:rsid w:val="00B32534"/>
    <w:rsid w:val="00B44F7F"/>
    <w:rsid w:val="00B5002B"/>
    <w:rsid w:val="00B647F7"/>
    <w:rsid w:val="00C572E9"/>
    <w:rsid w:val="00DE1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3253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4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4F7F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B500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B5002B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B5002B"/>
    <w:rPr>
      <w:b/>
      <w:bCs/>
    </w:rPr>
  </w:style>
  <w:style w:type="character" w:styleId="Enfasicorsivo">
    <w:name w:val="Emphasis"/>
    <w:basedOn w:val="Carpredefinitoparagrafo"/>
    <w:uiPriority w:val="20"/>
    <w:qFormat/>
    <w:rsid w:val="0016363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8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www.studiarapido.it/guelfi-e-ghibellini-germania-italia/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8</cp:revision>
  <dcterms:created xsi:type="dcterms:W3CDTF">2020-09-24T07:08:00Z</dcterms:created>
  <dcterms:modified xsi:type="dcterms:W3CDTF">2020-09-25T21:53:00Z</dcterms:modified>
</cp:coreProperties>
</file>